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</w:rPr>
      </w:pPr>
      <w:r>
        <w:rPr>
          <w:b/>
        </w:rPr>
        <w:t>Executive Meeting</w:t>
      </w:r>
    </w:p>
    <w:p>
      <w:pPr>
        <w:pStyle w:val="Normal1"/>
        <w:jc w:val="center"/>
        <w:rPr>
          <w:b/>
          <w:b/>
        </w:rPr>
      </w:pPr>
      <w:r>
        <w:rPr>
          <w:b/>
        </w:rPr>
        <w:t>Minutes</w:t>
      </w:r>
    </w:p>
    <w:p>
      <w:pPr>
        <w:pStyle w:val="Normal1"/>
        <w:jc w:val="center"/>
        <w:rPr>
          <w:b/>
          <w:b/>
        </w:rPr>
      </w:pPr>
      <w:r>
        <w:rPr>
          <w:b/>
        </w:rPr>
        <w:t>16 May 2018</w:t>
      </w:r>
    </w:p>
    <w:p>
      <w:pPr>
        <w:pStyle w:val="Normal1"/>
        <w:rPr>
          <w:sz w:val="20"/>
        </w:rPr>
      </w:pPr>
      <w:r>
        <w:rPr>
          <w:sz w:val="20"/>
        </w:rPr>
      </w:r>
    </w:p>
    <w:tbl>
      <w:tblPr>
        <w:tblW w:w="90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685"/>
        <w:gridCol w:w="3918"/>
      </w:tblGrid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In attendance: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Riley Clowes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Arran Rodgers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Kaya Cohen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Beckie Ryan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Phill Dowler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Michael Serrano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Absent: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Lou Hardy (Apologies sent late)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Sofia Teles da Silva (NO APOLOGIES OR COMMUNICATION RECEIVED)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Apologies: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Zunera Siraj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1"/>
        <w:rPr>
          <w:sz w:val="20"/>
        </w:rPr>
      </w:pPr>
      <w:r>
        <w:rPr>
          <w:sz w:val="20"/>
        </w:rPr>
      </w:r>
    </w:p>
    <w:p>
      <w:pPr>
        <w:pStyle w:val="Normal1"/>
        <w:rPr>
          <w:sz w:val="20"/>
        </w:rPr>
      </w:pPr>
      <w:r>
        <w:rPr>
          <w:sz w:val="20"/>
        </w:rPr>
        <w:t>For the purpose of this document attendees shall be referenced as their initials excluding the following; Riley Clowes to be known as VPK, and Phill Dowler to be known as VPS.</w:t>
      </w:r>
    </w:p>
    <w:p>
      <w:pPr>
        <w:pStyle w:val="Normal1"/>
        <w:rPr>
          <w:sz w:val="20"/>
        </w:rPr>
      </w:pPr>
      <w:r>
        <w:rPr>
          <w:sz w:val="20"/>
        </w:rPr>
      </w:r>
    </w:p>
    <w:p>
      <w:pPr>
        <w:pStyle w:val="Normal1"/>
        <w:rPr>
          <w:sz w:val="20"/>
        </w:rPr>
      </w:pPr>
      <w:r>
        <w:rPr>
          <w:sz w:val="20"/>
        </w:rPr>
        <w:t>Due to the elected chair of the committee being absent, the role fell to VPK.</w:t>
      </w:r>
    </w:p>
    <w:p>
      <w:pPr>
        <w:pStyle w:val="Normal1"/>
        <w:rPr>
          <w:sz w:val="20"/>
        </w:rPr>
      </w:pPr>
      <w:r>
        <w:rPr>
          <w:sz w:val="20"/>
        </w:rPr>
      </w:r>
    </w:p>
    <w:tbl>
      <w:tblPr>
        <w:tblW w:w="83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5799"/>
        <w:gridCol w:w="2088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Action and/or Outcome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DefaultParagraphFont"/>
                <w:b/>
                <w:sz w:val="20"/>
              </w:rPr>
              <w:t xml:space="preserve">Action List - </w:t>
            </w:r>
            <w:r>
              <w:rPr>
                <w:rStyle w:val="DefaultParagraphFont"/>
                <w:rFonts w:cs="Calibri"/>
                <w:b/>
                <w:sz w:val="20"/>
                <w:szCs w:val="20"/>
              </w:rPr>
              <w:t>EC/1/5/18</w:t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VPS addressed the meeting concerning committee members creating a bio for the website. As this is not complete, and due to the time of year, this action will not be completed.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It was decided that Executive Committee members will be required to supply this information in training next year to ensure marketing can take place.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DefaultParagraphFont"/>
                <w:b/>
                <w:sz w:val="20"/>
              </w:rPr>
              <w:t xml:space="preserve">Sabbatical Officer Reports </w:t>
            </w:r>
            <w:r>
              <w:rPr>
                <w:rStyle w:val="DefaultParagraphFont"/>
                <w:b/>
                <w:sz w:val="20"/>
                <w:szCs w:val="20"/>
              </w:rPr>
              <w:t>- EC/2/5/18 and EC/3/5/18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VPK Report: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Updates given concerning, no questions.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VPS Report: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Updates given.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BR noted she is aware of a university member of staff conduction work on wellbeing and mental health, possible connections to be made.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Vote: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In favour: 6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Opposed: 0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Report passes.</w:t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Vote: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In favour: 6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Opposed: 0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Report passes.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</w:t>
            </w:r>
          </w:p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BDS – EC/4/5/18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VPS presented the suggested policy and explained why this should be put into place.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 asked for a wording to be amended to guarantee ensure it is understood we still support Israeli students.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 - ‘The Union believes: 4. This is not an attack on the Israeli people, it is against the policies of the Israeli Government. UCASU will continue to continue to support all students, including Israeli students.’</w:t>
            </w:r>
          </w:p>
          <w:p>
            <w:pPr>
              <w:pStyle w:val="ListParagraph"/>
              <w:ind w:left="14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 and Non-Binary – EC/5/5/18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VPS presented the policy for discussion and vote.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brief summary concerning the Union and training, information about health care, and the process of student’s records being changed all relating to the policy was given.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 asked whether all campuses had non-binary / non-gender specific toilets.</w:t>
            </w:r>
          </w:p>
          <w:p>
            <w:pPr>
              <w:pStyle w:val="ListParagraph"/>
              <w:numPr>
                <w:ilvl w:val="2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VPS clarified that it is University policy that all new builds must have non-binary toilets. 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Vote:</w:t>
            </w:r>
          </w:p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Amendment:</w:t>
            </w:r>
          </w:p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favour: 6</w:t>
            </w:r>
          </w:p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Opposed: 0 </w:t>
            </w:r>
          </w:p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 passes.</w:t>
            </w:r>
          </w:p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Policy:</w:t>
            </w:r>
          </w:p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favour: 6</w:t>
            </w:r>
          </w:p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Opposed: 0 </w:t>
            </w:r>
          </w:p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passes.</w:t>
            </w:r>
          </w:p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Vote: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In favour: 6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Opposed: 0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Policy passes.</w:t>
            </w:r>
          </w:p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4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Coming Events</w:t>
            </w:r>
          </w:p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None due to the end of the academic year.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30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AOB</w:t>
            </w:r>
          </w:p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rStyle w:val="DefaultParagraphFont"/>
                <w:sz w:val="20"/>
                <w:szCs w:val="20"/>
              </w:rPr>
              <w:t>Campus Forums.</w:t>
            </w:r>
          </w:p>
          <w:p>
            <w:pPr>
              <w:pStyle w:val="ListParagraph"/>
              <w:numPr>
                <w:ilvl w:val="1"/>
                <w:numId w:val="4"/>
              </w:numPr>
              <w:rPr/>
            </w:pPr>
            <w:r>
              <w:rPr>
                <w:rStyle w:val="DefaultParagraphFont"/>
                <w:sz w:val="20"/>
                <w:szCs w:val="20"/>
              </w:rPr>
              <w:t>Only attendance was Farnham where a suggestion has been bought forward concerning more varied events. VPS to feed back to the events and commercial SU team.</w:t>
            </w:r>
          </w:p>
          <w:p>
            <w:pPr>
              <w:pStyle w:val="ListParagraph"/>
              <w:ind w:left="144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rStyle w:val="DefaultParagraphFont"/>
                <w:sz w:val="20"/>
                <w:szCs w:val="20"/>
              </w:rPr>
              <w:t>BR fed back to the committee conversations and updates that had taken place with catering and accommodation concerning sustainability within the canteen and mental health training with wardens.</w:t>
            </w:r>
          </w:p>
          <w:p>
            <w:pPr>
              <w:pStyle w:val="List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VPS thanked all elected Execs for their work and commitment throughout the year.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Actions:</w:t>
            </w:r>
          </w:p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VPS to contact Commercial team and pass on feedback concerning events.</w:t>
            </w:r>
          </w:p>
        </w:tc>
      </w:tr>
    </w:tbl>
    <w:p>
      <w:pPr>
        <w:pStyle w:val="Normal1"/>
        <w:rPr>
          <w:sz w:val="20"/>
        </w:rPr>
      </w:pPr>
      <w:r>
        <w:rPr>
          <w:sz w:val="20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GB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GB" w:eastAsia="en-US" w:bidi="ar-SA"/>
    </w:rPr>
  </w:style>
  <w:style w:type="paragraph" w:styleId="ListParagraph">
    <w:name w:val="List Paragraph"/>
    <w:basedOn w:val="Normal1"/>
    <w:qFormat/>
    <w:pPr>
      <w:tabs>
        <w:tab w:val="clear" w:pos="720"/>
      </w:tabs>
      <w:suppressAutoHyphens w:val="true"/>
      <w:ind w:left="720" w:hanging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2</Pages>
  <Words>439</Words>
  <Characters>2503</Characters>
  <CharactersWithSpaces>2937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2018-05-16T14:22:00Z</dcterms:created>
  <dc:creator>Taylor Kane</dc:creator>
  <dc:description/>
  <dc:language>en-US</dc:language>
  <cp:lastModifiedBy>Taylor Kane</cp:lastModifiedBy>
  <cp:lastPrinted>2018-02-22T10:00:00Z</cp:lastPrinted>
  <dcterms:modified xsi:type="dcterms:W3CDTF">2018-05-16T14:24:00Z</dcterms:modified>
  <cp:revision>3</cp:revision>
  <dc:subject/>
  <dc:title/>
</cp:coreProperties>
</file>